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97" w:rsidRPr="00541B6F" w:rsidRDefault="006B6497" w:rsidP="006B6497">
      <w:pPr>
        <w:jc w:val="center"/>
        <w:rPr>
          <w:rStyle w:val="A78"/>
          <w:rFonts w:ascii="Montserrat" w:hAnsi="Montserrat"/>
          <w:color w:val="03365F"/>
          <w:sz w:val="46"/>
          <w:szCs w:val="46"/>
          <w:lang w:val="fr-FR"/>
        </w:rPr>
      </w:pPr>
      <w:r w:rsidRPr="00541B6F">
        <w:rPr>
          <w:rStyle w:val="A78"/>
          <w:rFonts w:ascii="Montserrat" w:hAnsi="Montserrat"/>
          <w:color w:val="03365F"/>
          <w:sz w:val="46"/>
          <w:szCs w:val="46"/>
          <w:lang w:val="fr-FR"/>
        </w:rPr>
        <w:t>PRESS RELEASE</w:t>
      </w:r>
    </w:p>
    <w:p w:rsidR="006B6497" w:rsidRDefault="006B6497" w:rsidP="000F38B0">
      <w:pPr>
        <w:pStyle w:val="Pa15"/>
        <w:spacing w:before="20" w:line="360" w:lineRule="atLeast"/>
        <w:rPr>
          <w:rStyle w:val="A78"/>
          <w:color w:val="03365F"/>
          <w:sz w:val="30"/>
          <w:szCs w:val="30"/>
          <w:lang w:val="bg-BG"/>
        </w:rPr>
      </w:pPr>
    </w:p>
    <w:p w:rsidR="006B6497" w:rsidRPr="00C64F67" w:rsidRDefault="006B6497" w:rsidP="006B6497">
      <w:pPr>
        <w:pStyle w:val="Default"/>
        <w:jc w:val="center"/>
        <w:rPr>
          <w:lang w:val="en-US" w:eastAsia="zh-CN"/>
        </w:rPr>
      </w:pPr>
      <w:r w:rsidRPr="006B6497">
        <w:rPr>
          <w:rStyle w:val="A78"/>
          <w:rFonts w:ascii="Montserrat" w:hAnsi="Montserrat"/>
          <w:color w:val="03365F"/>
          <w:sz w:val="30"/>
          <w:szCs w:val="30"/>
          <w:lang w:val="bg-BG" w:eastAsia="zh-CN"/>
        </w:rPr>
        <w:t>Средносрочни и дългосрочни въздействия на войната в Европа върху тенденциите в глобалните сектори: ще има ли устойчиви сектори?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00000" w:themeColor="text1"/>
          <w:sz w:val="22"/>
          <w:szCs w:val="22"/>
          <w:lang w:val="bg-BG" w:eastAsia="zh-CN"/>
        </w:rPr>
      </w:pPr>
      <w:r w:rsidRPr="00461238">
        <w:rPr>
          <w:rStyle w:val="A76"/>
          <w:rFonts w:ascii="Montserrat" w:eastAsia="Times New Roman" w:hAnsi="Montserrat"/>
          <w:b/>
          <w:bCs/>
          <w:color w:val="FFFFFF" w:themeColor="background1"/>
          <w:sz w:val="22"/>
          <w:szCs w:val="22"/>
          <w:lang w:val="bg-BG" w:eastAsia="zh-CN"/>
        </w:rPr>
        <w:t xml:space="preserve">фия, 12 </w:t>
      </w:r>
      <w:r w:rsidR="000F38B0">
        <w:rPr>
          <w:rStyle w:val="A76"/>
          <w:rFonts w:ascii="Montserrat" w:eastAsia="Times New Roman" w:hAnsi="Montserrat"/>
          <w:b/>
          <w:bCs/>
          <w:color w:val="FFFFFF" w:themeColor="background1"/>
          <w:sz w:val="22"/>
          <w:szCs w:val="22"/>
          <w:lang w:val="bg-BG" w:eastAsia="zh-CN"/>
        </w:rPr>
        <w:t xml:space="preserve">май 2022 </w:t>
      </w:r>
    </w:p>
    <w:p w:rsidR="00EE087D" w:rsidRPr="00EE087D" w:rsidRDefault="00EE087D" w:rsidP="00EE087D">
      <w:pPr>
        <w:widowControl/>
        <w:autoSpaceDE w:val="0"/>
        <w:autoSpaceDN w:val="0"/>
        <w:adjustRightInd w:val="0"/>
        <w:rPr>
          <w:rFonts w:ascii="Montserrat" w:eastAsiaTheme="minorHAnsi" w:hAnsi="Montserrat" w:cs="Montserrat"/>
          <w:color w:val="000000"/>
          <w:lang w:val="bg-BG" w:eastAsia="en-US"/>
        </w:rPr>
      </w:pPr>
    </w:p>
    <w:p w:rsidR="006B6497" w:rsidRPr="000F38B0" w:rsidRDefault="009C4DFC" w:rsidP="00EE087D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</w:pPr>
      <w:r>
        <w:rPr>
          <w:rFonts w:ascii="Montserrat" w:eastAsiaTheme="minorHAnsi" w:hAnsi="Montserrat" w:cs="Montserrat"/>
          <w:b/>
          <w:bCs/>
          <w:color w:val="0BB18F"/>
          <w:sz w:val="22"/>
          <w:szCs w:val="22"/>
          <w:lang w:val="bg-BG" w:eastAsia="en-US"/>
        </w:rPr>
        <w:t>София, 31</w:t>
      </w:r>
      <w:bookmarkStart w:id="0" w:name="_GoBack"/>
      <w:bookmarkEnd w:id="0"/>
      <w:r w:rsidR="00EE087D" w:rsidRPr="00EE087D">
        <w:rPr>
          <w:rFonts w:ascii="Montserrat" w:eastAsiaTheme="minorHAnsi" w:hAnsi="Montserrat" w:cs="Montserrat"/>
          <w:b/>
          <w:bCs/>
          <w:color w:val="0BB18F"/>
          <w:sz w:val="22"/>
          <w:szCs w:val="22"/>
          <w:lang w:val="bg-BG" w:eastAsia="en-US"/>
        </w:rPr>
        <w:t xml:space="preserve"> </w:t>
      </w:r>
      <w:r w:rsidR="00EE087D">
        <w:rPr>
          <w:rFonts w:ascii="Montserrat" w:eastAsiaTheme="minorHAnsi" w:hAnsi="Montserrat" w:cs="Montserrat"/>
          <w:b/>
          <w:bCs/>
          <w:color w:val="0BB18F"/>
          <w:sz w:val="22"/>
          <w:szCs w:val="22"/>
          <w:lang w:val="bg-BG" w:eastAsia="en-US"/>
        </w:rPr>
        <w:t>Май</w:t>
      </w:r>
      <w:r w:rsidR="00EE087D" w:rsidRPr="00EE087D">
        <w:rPr>
          <w:rFonts w:ascii="Montserrat" w:eastAsiaTheme="minorHAnsi" w:hAnsi="Montserrat" w:cs="Montserrat"/>
          <w:b/>
          <w:bCs/>
          <w:color w:val="0BB18F"/>
          <w:sz w:val="22"/>
          <w:szCs w:val="22"/>
          <w:lang w:val="bg-BG" w:eastAsia="en-US"/>
        </w:rPr>
        <w:t xml:space="preserve"> 2022</w:t>
      </w:r>
      <w:r w:rsidR="00EE087D" w:rsidRPr="00EE087D">
        <w:rPr>
          <w:rFonts w:ascii="Montserrat" w:eastAsiaTheme="minorHAnsi" w:hAnsi="Montserrat" w:cs="Montserrat"/>
          <w:b/>
          <w:bCs/>
          <w:color w:val="000000"/>
          <w:sz w:val="22"/>
          <w:szCs w:val="22"/>
          <w:lang w:val="bg-BG" w:eastAsia="en-US"/>
        </w:rPr>
        <w:t xml:space="preserve"> 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Въпреки че в</w:t>
      </w:r>
      <w:r w:rsidR="00EE087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иждаме различия според позициите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на компаниите </w:t>
      </w:r>
      <w:r w:rsidR="00EE087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според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веригата за доставки или географ</w:t>
      </w:r>
      <w:r w:rsidR="00EE087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ското местоположение, всички 13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сектора, изследвани от Coface, ще продължат да бъдат повлия</w:t>
      </w:r>
      <w:r w:rsidR="00EE087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ва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ни от негативните ефекти на войната в Украйна, пряко или косвено, в средно- и дългосрочен план. Очаква се повечето сектори да бъдат засегнати от контекста на високи цени на суровините и проблеми с доставките, изострени от войната. Това важи особено за високите цени на петрола, които вероятно ще продължат да се подхранват от ефекта на разпространението на забраната за руския петрол, обявена м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иналата седмица от комисията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  <w:t xml:space="preserve"> 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на ЕС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; както и за зърнени култури (Украйна, Русия и Беларус са големи производители на зърнени култури). В контекста на продължаващи прекъсвания в доставките на полупроводници и ефект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ът от продължаващото 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разпространение на пандемията 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от 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COVID, както е 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видно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от блокирането на пристанището в Шанхай, колкото по-дълго продължава войната, толкова по-вероятно е шокът в търсенето да се материализира, което ще направи глобал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ната среда още по-неблагоприятна.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Поради това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,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се очаква най-засегнатите сектори да бъдат най-цикличните и ен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ергоемки, като нефтохимическата индустрия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, транспорта, автомобилостроенето, </w:t>
      </w:r>
      <w:r w:rsidR="0048231A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производството на хартия и хартиени продукти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, текстилната промишленост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и 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земеделието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. В бъдеще очакваме най-устойчивите да бъдат медиите (сегмент на 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комуникациите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), 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някои специфични химични производства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и фармацевтични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те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продукти.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</w:pP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  <w:t xml:space="preserve">Инфлационното напрежение и енергийният шок ще засегнат най-вече 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бизнесите със затворен кръг на доставки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  <w:t xml:space="preserve"> и енергоемките сектори и то с различен интензитет 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  <w:t xml:space="preserve">между 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отделните </w:t>
      </w:r>
      <w:r w:rsidR="00627A19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en-US" w:eastAsia="zh-CN"/>
        </w:rPr>
        <w:t>региони.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en-US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Всички промишлени сектори са загрижени, но най-цикличните и енергоемките, като </w:t>
      </w:r>
      <w:r w:rsidR="00D406C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нефтохимическата индустрия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, транспорта</w:t>
      </w:r>
      <w:r w:rsidR="00D406CD" w:rsidRPr="00D406C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</w:t>
      </w:r>
      <w:r w:rsidR="00D406C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производството на хартия и хартиени продукти</w:t>
      </w:r>
      <w:r w:rsidR="00D406CD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и </w:t>
      </w:r>
      <w:r w:rsidR="00D406C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производството на текстил и облекла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, ще бъдат сред най-засегнатите. 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Те обикновено са </w:t>
      </w:r>
      <w:r w:rsidR="00D406C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сектори от затворен тип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, които в продължение на няколко години са били предизвикани от технологични иновации, еволюция в екологичните </w:t>
      </w:r>
      <w:r w:rsidR="00D406C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изисквания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и </w:t>
      </w:r>
      <w:r w:rsidR="00D406C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промяна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</w:t>
      </w:r>
      <w:r w:rsidR="00D406C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в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предпочитанията на потребителите. Например, секторът на </w:t>
      </w:r>
      <w:r w:rsidR="00AA6F04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производство и преработка на хартия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е изправен пред предизвикателствата на продължаващата глобална цифровизация на икономиката и </w:t>
      </w:r>
      <w:r w:rsidR="00AA6F04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търсенето сред обществото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Секторите, които са били в затруднение преди кризата, също вероятно ще бъдат силно засегнати от този нов шок, гледайки напред. </w:t>
      </w:r>
      <w:r w:rsidR="00AA6F04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Текстилната промишленост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и автомобилостроенето в световен мащаб са добра илюстрация за това.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В дългосрочен план 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остава да се види до каква степен ще бъде засегнат секторът на търговията на дребно.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Този нов контекст на войната подхранва несигурността, която вероятно ще продължат да възпрепятстват доверието на потребителите.</w:t>
      </w:r>
      <w:r w:rsidR="005606FB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Въпреки това, с материализирането на някои буфери, прилагани от някои правителства, особено в развитите икономики, като купони за храна за най-уязвимите групи от населението или субсидии за цените на енергия в Европа, въздействието върху сегмента на търговията на дребно може да бъде сравнително слабо.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lastRenderedPageBreak/>
        <w:t xml:space="preserve">Докато 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транспортният сектор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като цяло е енергоемък и вероятно ще бъде засегнат от високите цени на петрола, 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ние очакваме различия в</w:t>
      </w:r>
      <w:r w:rsidR="00B3219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ъв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въздействието на шока между </w:t>
      </w:r>
      <w:r w:rsid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различните подсектори</w:t>
      </w:r>
      <w:r w:rsidR="00B3219D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(железопътен, сухопътен, въздушен и морски)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,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тъй като те са изправени пред този нов шок </w:t>
      </w:r>
      <w:r w:rsidR="00B3219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в различна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финансова </w:t>
      </w:r>
      <w:r w:rsidR="00B3219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степен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. Например, през 1-во тримесечие на 2022 г. печалбата от морски превоз е 28% от оборота, докато въздушният транспорт регистрира загуба от 11% от оборота.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Освен това, за повечето сектори, ние предвиждаме, че ще има големи различия по отношение на въздействието и разделение между позициите на индустриите/компаниите във веригата на доставки, в зависимост от това дали </w:t>
      </w:r>
      <w:r w:rsidR="00B3219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те оперират в посока 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нагоре или надолу по веригата. Географската, съставната и оперативната динамика в рамките на един и същи сектор също играят роля, когато разглеждаме въздействието на войната.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</w:t>
      </w:r>
    </w:p>
    <w:p w:rsidR="006B6497" w:rsidRPr="000F38B0" w:rsidRDefault="00B3219D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</w:pPr>
      <w:r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Глобалният 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сектор</w:t>
      </w:r>
      <w:r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на земеделието</w:t>
      </w:r>
      <w:r w:rsidR="006B6497"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също вероятно ще остане един от най-засегнатите, с рискове от социално-политически проблеми</w:t>
      </w:r>
    </w:p>
    <w:p w:rsidR="000F38B0" w:rsidRPr="000F38B0" w:rsidRDefault="000F38B0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Предвид жизненоважното измерение на селскостопанския и хранително-вкусовия сектор, последиците от предизвикателствата, пред ко</w:t>
      </w:r>
      <w:r w:rsidR="00B3219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ито е изправен, като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високите цени на храните и суровините (особено торовете), са от решаващо значение, тъй като бих</w:t>
      </w:r>
      <w:r w:rsidR="00B3219D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а могли да застрашат глобалните запаси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на храните, както и да предизвикат политическа нестабилност. Високите цени на енергията допринасят за увеличаване на разходите за суровини за земеделски култури, като по този начин намаляват добива за земеделските производители, докато селскостопанският сектор вече е уязвим към няколко структурни фактора като биологични рискове и 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промяната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на климатичните условия, ма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териализирани например от силна топла вълна 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от началото на годината в различни части на света, които причиняват суши (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Сомалийския полуостров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 Индия и др..) и мащабни пожари (като в Ню Мексико в САЩ).</w:t>
      </w:r>
    </w:p>
    <w:p w:rsidR="000F38B0" w:rsidRPr="000F38B0" w:rsidRDefault="000F38B0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Очакват се значителни трансформации в </w:t>
      </w:r>
      <w:r w:rsidR="000D3A3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секторите</w:t>
      </w: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и еволюция на навиците на потребителите</w:t>
      </w:r>
    </w:p>
    <w:p w:rsidR="000F38B0" w:rsidRDefault="000F38B0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В дългосрочен план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очакваме постепенно адаптиране както на навиците на потребителите, така и на компаниите (икономия на енергия, преминаване от пшенично брашно към 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други алтернативи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), както и промяна в организацията на веригата за доставки. Последното определено ще окаже влияние върху глобалните вериги за доставки. Например, важни железопътни маршрути за товарен превоз между Европа и Китай сега се развиват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заобикаляйки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Русия през 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Близкия Изток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. Точно както въздействието на кризата</w:t>
      </w:r>
      <w:r w:rsidR="000D3A3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от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COVID върху тенденциите в глобалните сектори, този нов шок вероятно ще действа като катализатор за значителни трансформации както на организацията на веригата за доставки, така и на навиците на потребителите.</w:t>
      </w:r>
    </w:p>
    <w:p w:rsidR="000F38B0" w:rsidRPr="000F38B0" w:rsidRDefault="000F38B0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>Някои сектори вероятно ще останат устойчиви</w:t>
      </w:r>
      <w:r w:rsidR="00C95C28">
        <w:rPr>
          <w:rStyle w:val="A76"/>
          <w:rFonts w:ascii="Montserrat" w:eastAsia="Times New Roman" w:hAnsi="Montserrat"/>
          <w:b/>
          <w:bCs/>
          <w:color w:val="03365F"/>
          <w:sz w:val="20"/>
          <w:szCs w:val="20"/>
          <w:lang w:val="bg-BG" w:eastAsia="zh-CN"/>
        </w:rPr>
        <w:t xml:space="preserve"> </w:t>
      </w:r>
    </w:p>
    <w:p w:rsidR="000F38B0" w:rsidRPr="000F38B0" w:rsidRDefault="000F38B0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Антицикличните силно иновативни сектори, които изискват </w:t>
      </w:r>
      <w:r w:rsidR="00C95C28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специфични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изследвания и разработки, отново ще останат най-устойчиви на шока.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Въпреки че здравната криза, свързана с </w:t>
      </w:r>
      <w:r w:rsidR="00C95C28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COVID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 донякъде се облекчи в много части на света, тя определено не е приключила. Следователно, фармацевтичният сектор трябва да продължи да има стабилни динамични финансови резултати.</w:t>
      </w:r>
    </w:p>
    <w:p w:rsidR="006B6497" w:rsidRPr="000F38B0" w:rsidRDefault="00C95C28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Сред различните сегменти на И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Т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К (Информационни технологии и Комуникации)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 Coface очаква медийният да остане най-устойчив, тъй като инвестициите и оборудването, необходими за използване на тези услуги, са били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направени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преди кризата, така че потребителите не са засегнати от прекъсвания на веригата за доставки. Освен това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тези услуги остават необходими и могат да се използват дистанционно. По този начин те не са ограничени от физически и географски бариери, 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като например товарния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транспорт.</w:t>
      </w:r>
    </w:p>
    <w:p w:rsidR="006B6497" w:rsidRPr="000F38B0" w:rsidRDefault="00C95C28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Подсекторът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на 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специфичната химическа промишленост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, особено компаниите, развиващи се на пазарите за 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продукти за 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красота</w:t>
      </w:r>
      <w:r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  козметика и парфюмерия</w:t>
      </w:r>
      <w:r w:rsidR="006B6497"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 се очаква да бъдат устойчиви в сравнение с други индустрии в сектора, като тези, свързани с бои и багрила, които са клиенти на много цикличния автомобилен сектор и слабата му перспектива.</w:t>
      </w:r>
    </w:p>
    <w:p w:rsidR="006B6497" w:rsidRPr="000F38B0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</w:pP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Тези 3 индустрии (медии, </w:t>
      </w:r>
      <w:r w:rsidR="00C95C28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химическа промишленост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и ф</w:t>
      </w:r>
      <w:r w:rsidR="001E2FBC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армацевтични продукти) имат общо, по това че притежават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комбинация от различни фактори, включително факта, че са антициклични сектори, от които продуктите и доминиращите пазарни позиции са 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lastRenderedPageBreak/>
        <w:t>концентрирани в определени части на света. Освен това</w:t>
      </w:r>
      <w:r w:rsidR="001E2FBC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>,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</w:t>
      </w:r>
      <w:r w:rsidR="001E2FBC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налице са и </w:t>
      </w:r>
      <w:r w:rsidRPr="000F38B0">
        <w:rPr>
          <w:rStyle w:val="A76"/>
          <w:rFonts w:ascii="Montserrat" w:eastAsia="Times New Roman" w:hAnsi="Montserrat"/>
          <w:bCs/>
          <w:color w:val="03365F"/>
          <w:sz w:val="20"/>
          <w:szCs w:val="20"/>
          <w:lang w:val="bg-BG" w:eastAsia="zh-CN"/>
        </w:rPr>
        <w:t xml:space="preserve"> високотехнологични и иновативни индустриални дейности, със силни бариери за навлизане на нови участници.</w:t>
      </w:r>
    </w:p>
    <w:p w:rsidR="006B6497" w:rsidRDefault="006B6497" w:rsidP="006B6497">
      <w:pPr>
        <w:widowControl/>
        <w:jc w:val="both"/>
        <w:rPr>
          <w:rStyle w:val="A76"/>
          <w:rFonts w:ascii="Montserrat" w:eastAsia="Times New Roman" w:hAnsi="Montserrat"/>
          <w:bCs/>
          <w:color w:val="000000" w:themeColor="text1"/>
          <w:sz w:val="20"/>
          <w:szCs w:val="20"/>
          <w:lang w:val="bg-BG" w:eastAsia="zh-CN"/>
        </w:rPr>
      </w:pPr>
    </w:p>
    <w:p w:rsidR="006B6497" w:rsidRPr="0096361B" w:rsidRDefault="001E2FBC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00000" w:themeColor="text1"/>
          <w:sz w:val="22"/>
          <w:szCs w:val="22"/>
          <w:lang w:eastAsia="zh-CN"/>
        </w:rPr>
      </w:pPr>
      <w:r w:rsidRPr="001E2FBC">
        <w:rPr>
          <w:rFonts w:ascii="Montserrat" w:eastAsia="Times New Roman" w:hAnsi="Montserrat" w:cs="Montserrat"/>
          <w:b/>
          <w:bCs/>
          <w:color w:val="000000" w:themeColor="text1"/>
          <w:sz w:val="20"/>
          <w:szCs w:val="20"/>
          <w:lang w:val="bg-BG" w:eastAsia="zh-CN"/>
        </w:rPr>
        <w:t xml:space="preserve">Find more about sectorial impacts </w:t>
      </w:r>
      <w:hyperlink r:id="rId6" w:history="1">
        <w:r w:rsidRPr="001E2FBC">
          <w:rPr>
            <w:rStyle w:val="Hyperlink"/>
            <w:rFonts w:ascii="Montserrat" w:eastAsia="Times New Roman" w:hAnsi="Montserrat" w:cs="Montserrat"/>
            <w:b/>
            <w:bCs/>
            <w:sz w:val="20"/>
            <w:szCs w:val="20"/>
            <w:lang w:val="bg-BG" w:eastAsia="zh-CN"/>
          </w:rPr>
          <w:t>on Coface’s website</w:t>
        </w:r>
      </w:hyperlink>
      <w:r>
        <w:rPr>
          <w:rFonts w:ascii="Montserrat" w:eastAsia="Times New Roman" w:hAnsi="Montserrat" w:cs="Montserrat"/>
          <w:b/>
          <w:bCs/>
          <w:color w:val="000000" w:themeColor="text1"/>
          <w:sz w:val="20"/>
          <w:szCs w:val="20"/>
          <w:lang w:val="bg-BG" w:eastAsia="zh-CN"/>
        </w:rPr>
        <w:t>.</w:t>
      </w:r>
    </w:p>
    <w:p w:rsidR="006B6497" w:rsidRPr="0096361B" w:rsidRDefault="006B6497" w:rsidP="006B6497">
      <w:pPr>
        <w:widowControl/>
        <w:jc w:val="both"/>
        <w:rPr>
          <w:rStyle w:val="A76"/>
          <w:rFonts w:ascii="Montserrat" w:eastAsia="Times New Roman" w:hAnsi="Montserrat"/>
          <w:b/>
          <w:bCs/>
          <w:color w:val="000000" w:themeColor="text1"/>
          <w:sz w:val="22"/>
          <w:szCs w:val="22"/>
          <w:lang w:eastAsia="zh-CN"/>
        </w:rPr>
      </w:pPr>
    </w:p>
    <w:p w:rsidR="006B6497" w:rsidRPr="0096361B" w:rsidRDefault="006B6497" w:rsidP="006B6497">
      <w:pPr>
        <w:widowControl/>
        <w:rPr>
          <w:rFonts w:ascii="Arial" w:hAnsi="Arial" w:cs="Arial"/>
          <w:b/>
          <w:sz w:val="18"/>
          <w:szCs w:val="18"/>
        </w:rPr>
      </w:pPr>
    </w:p>
    <w:p w:rsidR="006B6497" w:rsidRPr="004D0F26" w:rsidRDefault="006B6497" w:rsidP="006B6497">
      <w:pPr>
        <w:widowControl/>
        <w:jc w:val="both"/>
        <w:rPr>
          <w:rFonts w:ascii="Montserrat" w:hAnsi="Montserrat" w:cs="Arial"/>
          <w:b/>
          <w:color w:val="000000" w:themeColor="text1"/>
          <w:sz w:val="21"/>
          <w:szCs w:val="21"/>
          <w:lang w:val="bg-BG"/>
        </w:rPr>
      </w:pPr>
      <w:r>
        <w:rPr>
          <w:rFonts w:ascii="Montserrat" w:hAnsi="Montserrat" w:cs="Arial"/>
          <w:b/>
          <w:color w:val="000000" w:themeColor="text1"/>
          <w:sz w:val="21"/>
          <w:szCs w:val="21"/>
          <w:lang w:val="bg-BG"/>
        </w:rPr>
        <w:t>За контакт</w:t>
      </w:r>
    </w:p>
    <w:p w:rsidR="006B6497" w:rsidRDefault="006B6497" w:rsidP="006B6497">
      <w:pPr>
        <w:widowControl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B6497" w:rsidRDefault="006B6497" w:rsidP="006B6497">
      <w:pPr>
        <w:widowControl/>
        <w:jc w:val="both"/>
        <w:rPr>
          <w:rFonts w:ascii="Montserrat" w:hAnsi="Montserrat" w:cs="Arial"/>
          <w:b/>
          <w:color w:val="FFFFFF" w:themeColor="background1"/>
          <w:sz w:val="21"/>
          <w:szCs w:val="21"/>
          <w:lang w:val="en-US"/>
        </w:rPr>
      </w:pPr>
      <w:r>
        <w:rPr>
          <w:rFonts w:ascii="Montserrat" w:hAnsi="Montserrat" w:cs="Arial"/>
          <w:b/>
          <w:color w:val="0BB18F"/>
          <w:sz w:val="21"/>
          <w:szCs w:val="21"/>
          <w:lang w:val="en-US"/>
        </w:rPr>
        <w:t>COFACE</w:t>
      </w:r>
    </w:p>
    <w:p w:rsidR="006B6497" w:rsidRDefault="006B6497" w:rsidP="006B6497">
      <w:pPr>
        <w:widowControl/>
        <w:jc w:val="both"/>
        <w:rPr>
          <w:rFonts w:ascii="Montserrat" w:hAnsi="Montserrat"/>
          <w:bCs/>
          <w:color w:val="000000" w:themeColor="text1"/>
          <w:sz w:val="22"/>
          <w:szCs w:val="22"/>
          <w:lang w:val="en-US"/>
        </w:rPr>
      </w:pPr>
      <w:r>
        <w:rPr>
          <w:rFonts w:ascii="Montserrat" w:hAnsi="Montserrat" w:cs="Arial"/>
          <w:color w:val="000000" w:themeColor="text1"/>
          <w:sz w:val="22"/>
          <w:szCs w:val="22"/>
          <w:lang w:val="en-US"/>
        </w:rPr>
        <w:t>Corentin Henry</w:t>
      </w:r>
      <w:r>
        <w:rPr>
          <w:rFonts w:ascii="Montserrat" w:hAnsi="Montserrat"/>
          <w:bCs/>
          <w:color w:val="000000" w:themeColor="text1"/>
          <w:sz w:val="22"/>
          <w:szCs w:val="22"/>
          <w:lang w:val="en-US"/>
        </w:rPr>
        <w:t xml:space="preserve">: </w:t>
      </w:r>
      <w:r>
        <w:rPr>
          <w:rFonts w:ascii="Montserrat" w:hAnsi="Montserrat" w:cs="Arial"/>
          <w:bCs/>
          <w:color w:val="000000" w:themeColor="text1"/>
          <w:sz w:val="22"/>
          <w:szCs w:val="22"/>
          <w:lang w:val="en-US"/>
        </w:rPr>
        <w:t>+33 1 49 02 23 94</w:t>
      </w:r>
    </w:p>
    <w:p w:rsidR="006B6497" w:rsidRDefault="009C4DFC" w:rsidP="006B6497">
      <w:pPr>
        <w:widowControl/>
        <w:jc w:val="both"/>
        <w:rPr>
          <w:rStyle w:val="Hyperlink"/>
          <w:rFonts w:ascii="Montserrat" w:hAnsi="Montserrat" w:cs="Arial"/>
          <w:color w:val="000000" w:themeColor="text1"/>
          <w:lang w:val="fr-FR"/>
        </w:rPr>
      </w:pPr>
      <w:hyperlink r:id="rId7" w:history="1">
        <w:r w:rsidR="006B6497">
          <w:rPr>
            <w:rStyle w:val="Hyperlink"/>
            <w:rFonts w:ascii="Montserrat" w:hAnsi="Montserrat" w:cs="Arial"/>
            <w:sz w:val="22"/>
            <w:szCs w:val="22"/>
            <w:lang w:val="fr-FR"/>
          </w:rPr>
          <w:t>corentin.henry@coface.com</w:t>
        </w:r>
      </w:hyperlink>
    </w:p>
    <w:p w:rsidR="006B6497" w:rsidRPr="0096361B" w:rsidRDefault="006B6497" w:rsidP="006B6497">
      <w:pPr>
        <w:widowControl/>
        <w:jc w:val="both"/>
        <w:rPr>
          <w:rFonts w:ascii="Arial" w:hAnsi="Arial"/>
          <w:lang w:val="fr-FR"/>
        </w:rPr>
      </w:pPr>
    </w:p>
    <w:p w:rsidR="006B6497" w:rsidRDefault="006B6497" w:rsidP="006B6497">
      <w:pPr>
        <w:widowControl/>
        <w:jc w:val="both"/>
        <w:rPr>
          <w:rFonts w:ascii="Montserrat" w:hAnsi="Montserrat" w:cs="Arial"/>
          <w:b/>
          <w:color w:val="0BB18F"/>
          <w:sz w:val="21"/>
          <w:szCs w:val="21"/>
          <w:lang w:val="bg-BG"/>
        </w:rPr>
      </w:pPr>
      <w:r>
        <w:rPr>
          <w:rFonts w:ascii="Montserrat" w:hAnsi="Montserrat" w:cs="Arial"/>
          <w:b/>
          <w:color w:val="0BB18F"/>
          <w:sz w:val="21"/>
          <w:szCs w:val="21"/>
          <w:lang w:val="bg-BG"/>
        </w:rPr>
        <w:t>ТОДОР ЦВЕТАНОВ</w:t>
      </w:r>
    </w:p>
    <w:p w:rsidR="006B6497" w:rsidRDefault="006B6497" w:rsidP="006B6497">
      <w:pPr>
        <w:widowControl/>
        <w:jc w:val="both"/>
        <w:rPr>
          <w:rFonts w:ascii="Montserrat" w:hAnsi="Montserrat" w:cs="Arial"/>
          <w:b/>
          <w:color w:val="000000" w:themeColor="text1"/>
          <w:sz w:val="21"/>
          <w:szCs w:val="21"/>
          <w:lang w:val="bg-BG"/>
        </w:rPr>
      </w:pPr>
      <w:r w:rsidRPr="005D5408">
        <w:rPr>
          <w:rFonts w:ascii="Montserrat" w:hAnsi="Montserrat" w:cs="Arial"/>
          <w:b/>
          <w:color w:val="000000" w:themeColor="text1"/>
          <w:sz w:val="21"/>
          <w:szCs w:val="21"/>
          <w:lang w:val="bg-BG"/>
        </w:rPr>
        <w:t>Кофас СА – клон България</w:t>
      </w:r>
    </w:p>
    <w:p w:rsidR="006B6497" w:rsidRDefault="006B6497" w:rsidP="006B649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  <w:lang w:val="bg-BG"/>
        </w:rPr>
      </w:pPr>
      <w:r>
        <w:rPr>
          <w:rFonts w:ascii="Montserrat" w:hAnsi="Montserrat" w:cs="Arial"/>
          <w:bCs/>
          <w:color w:val="000000" w:themeColor="text1"/>
          <w:sz w:val="22"/>
          <w:szCs w:val="22"/>
          <w:lang w:val="en-US"/>
        </w:rPr>
        <w:t>+</w:t>
      </w:r>
      <w:r>
        <w:rPr>
          <w:rFonts w:ascii="Montserrat" w:hAnsi="Montserrat" w:cs="Arial"/>
          <w:bCs/>
          <w:color w:val="000000" w:themeColor="text1"/>
          <w:sz w:val="22"/>
          <w:szCs w:val="22"/>
          <w:lang w:val="bg-BG"/>
        </w:rPr>
        <w:t>359 882 481 411</w:t>
      </w:r>
    </w:p>
    <w:p w:rsidR="006B6497" w:rsidRDefault="009C4DFC" w:rsidP="006B6497">
      <w:pPr>
        <w:widowControl/>
        <w:jc w:val="both"/>
        <w:rPr>
          <w:rStyle w:val="Hyperlink"/>
          <w:rFonts w:ascii="Montserrat" w:hAnsi="Montserrat" w:cs="Arial"/>
          <w:sz w:val="22"/>
          <w:szCs w:val="22"/>
          <w:lang w:val="fr-FR"/>
        </w:rPr>
      </w:pPr>
      <w:hyperlink r:id="rId8" w:history="1">
        <w:r w:rsidR="006B6497" w:rsidRPr="00DD70F0">
          <w:rPr>
            <w:rStyle w:val="Hyperlink"/>
            <w:rFonts w:ascii="Montserrat" w:hAnsi="Montserrat" w:cs="Arial"/>
            <w:lang w:val="fr-FR"/>
          </w:rPr>
          <w:t>todor.tsvetanov@coface.</w:t>
        </w:r>
        <w:r w:rsidR="006B6497" w:rsidRPr="00DD70F0">
          <w:rPr>
            <w:rStyle w:val="Hyperlink"/>
            <w:rFonts w:ascii="Montserrat" w:hAnsi="Montserrat" w:cs="Arial"/>
            <w:sz w:val="22"/>
            <w:szCs w:val="22"/>
            <w:lang w:val="fr-FR"/>
          </w:rPr>
          <w:t>com</w:t>
        </w:r>
      </w:hyperlink>
    </w:p>
    <w:p w:rsidR="006B6497" w:rsidRDefault="006B6497" w:rsidP="006B6497">
      <w:pPr>
        <w:widowControl/>
        <w:jc w:val="both"/>
        <w:rPr>
          <w:rStyle w:val="Hyperlink"/>
          <w:rFonts w:ascii="Montserrat" w:hAnsi="Montserrat" w:cs="Arial"/>
          <w:sz w:val="22"/>
          <w:szCs w:val="22"/>
          <w:lang w:val="fr-FR"/>
        </w:rPr>
      </w:pPr>
    </w:p>
    <w:p w:rsidR="006B6497" w:rsidRDefault="006B6497" w:rsidP="006B6497">
      <w:pPr>
        <w:widowControl/>
        <w:jc w:val="both"/>
        <w:rPr>
          <w:rFonts w:ascii="Montserrat" w:hAnsi="Montserrat" w:cs="Arial"/>
          <w:b/>
          <w:color w:val="0BB18F"/>
          <w:sz w:val="21"/>
          <w:szCs w:val="21"/>
          <w:lang w:val="bg-BG"/>
        </w:rPr>
      </w:pPr>
      <w:r>
        <w:rPr>
          <w:rFonts w:ascii="Montserrat" w:hAnsi="Montserrat" w:cs="Arial"/>
          <w:b/>
          <w:color w:val="0BB18F"/>
          <w:sz w:val="21"/>
          <w:szCs w:val="21"/>
          <w:lang w:val="bg-BG"/>
        </w:rPr>
        <w:t>ПЕТЯ ГЕДЖЕВА</w:t>
      </w:r>
    </w:p>
    <w:p w:rsidR="006B6497" w:rsidRPr="004D0F26" w:rsidRDefault="006B6497" w:rsidP="006B6497">
      <w:pPr>
        <w:widowControl/>
        <w:jc w:val="both"/>
        <w:rPr>
          <w:rStyle w:val="Hyperlink"/>
          <w:rFonts w:ascii="Montserrat" w:hAnsi="Montserrat" w:cs="Arial"/>
          <w:b/>
          <w:color w:val="0BB18F"/>
          <w:sz w:val="21"/>
          <w:szCs w:val="21"/>
          <w:lang w:val="bg-BG"/>
        </w:rPr>
      </w:pPr>
      <w:r>
        <w:rPr>
          <w:rFonts w:ascii="Montserrat" w:hAnsi="Montserrat" w:cs="Arial"/>
          <w:b/>
          <w:color w:val="000000" w:themeColor="text1"/>
          <w:sz w:val="21"/>
          <w:szCs w:val="21"/>
          <w:lang w:val="bg-BG"/>
        </w:rPr>
        <w:t>Параграф 42</w:t>
      </w:r>
    </w:p>
    <w:p w:rsidR="006B6497" w:rsidRDefault="006B6497" w:rsidP="006B6497">
      <w:pPr>
        <w:widowControl/>
        <w:jc w:val="both"/>
        <w:rPr>
          <w:rStyle w:val="Hyperlink"/>
          <w:rFonts w:ascii="Montserrat" w:hAnsi="Montserrat" w:cs="Arial"/>
          <w:sz w:val="22"/>
          <w:szCs w:val="22"/>
          <w:lang w:val="bg-BG"/>
        </w:rPr>
      </w:pPr>
      <w:r w:rsidRPr="004D0F26">
        <w:rPr>
          <w:rStyle w:val="Hyperlink"/>
          <w:rFonts w:ascii="Montserrat" w:hAnsi="Montserrat" w:cs="Arial"/>
          <w:sz w:val="22"/>
          <w:szCs w:val="22"/>
          <w:lang w:val="bg-BG"/>
        </w:rPr>
        <w:t>+ 359 882 591</w:t>
      </w:r>
      <w:r>
        <w:rPr>
          <w:rStyle w:val="Hyperlink"/>
          <w:rFonts w:ascii="Montserrat" w:hAnsi="Montserrat" w:cs="Arial"/>
          <w:sz w:val="22"/>
          <w:szCs w:val="22"/>
          <w:lang w:val="bg-BG"/>
        </w:rPr>
        <w:t> </w:t>
      </w:r>
      <w:r w:rsidRPr="004D0F26">
        <w:rPr>
          <w:rStyle w:val="Hyperlink"/>
          <w:rFonts w:ascii="Montserrat" w:hAnsi="Montserrat" w:cs="Arial"/>
          <w:sz w:val="22"/>
          <w:szCs w:val="22"/>
          <w:lang w:val="bg-BG"/>
        </w:rPr>
        <w:t>667</w:t>
      </w:r>
    </w:p>
    <w:p w:rsidR="006B6497" w:rsidRDefault="009C4DFC" w:rsidP="006B6497">
      <w:pPr>
        <w:widowControl/>
        <w:jc w:val="both"/>
        <w:rPr>
          <w:rStyle w:val="Hyperlink"/>
          <w:rFonts w:ascii="Montserrat" w:hAnsi="Montserrat" w:cs="Arial"/>
          <w:sz w:val="22"/>
          <w:szCs w:val="22"/>
          <w:lang w:val="fr-FR"/>
        </w:rPr>
      </w:pPr>
      <w:hyperlink r:id="rId9" w:history="1">
        <w:r w:rsidR="006B6497" w:rsidRPr="00DD70F0">
          <w:rPr>
            <w:rStyle w:val="Hyperlink"/>
            <w:rFonts w:ascii="Montserrat" w:hAnsi="Montserrat" w:cs="Arial"/>
          </w:rPr>
          <w:t>p.gedjeva</w:t>
        </w:r>
        <w:r w:rsidR="006B6497" w:rsidRPr="00DD70F0">
          <w:rPr>
            <w:rStyle w:val="Hyperlink"/>
            <w:rFonts w:ascii="Montserrat" w:hAnsi="Montserrat" w:cs="Arial"/>
            <w:lang w:val="fr-FR"/>
          </w:rPr>
          <w:t>@</w:t>
        </w:r>
        <w:r w:rsidR="006B6497" w:rsidRPr="00DD70F0">
          <w:rPr>
            <w:rStyle w:val="Hyperlink"/>
            <w:rFonts w:ascii="Montserrat" w:hAnsi="Montserrat" w:cs="Arial"/>
          </w:rPr>
          <w:t>paragraph42.bg</w:t>
        </w:r>
      </w:hyperlink>
    </w:p>
    <w:p w:rsidR="006B6497" w:rsidRPr="004D0F26" w:rsidRDefault="006B6497" w:rsidP="006B6497">
      <w:pPr>
        <w:widowControl/>
        <w:jc w:val="both"/>
        <w:rPr>
          <w:rStyle w:val="Hyperlink"/>
          <w:rFonts w:ascii="Montserrat" w:hAnsi="Montserrat" w:cs="Arial"/>
          <w:sz w:val="22"/>
          <w:szCs w:val="22"/>
          <w:lang w:val="bg-BG"/>
        </w:rPr>
      </w:pPr>
    </w:p>
    <w:p w:rsidR="006B6497" w:rsidRPr="007A1398" w:rsidRDefault="006B6497" w:rsidP="006B6497">
      <w:pPr>
        <w:widowControl/>
        <w:rPr>
          <w:rFonts w:ascii="Arial" w:hAnsi="Arial" w:cs="Arial"/>
          <w:sz w:val="20"/>
          <w:lang w:val="en-US"/>
        </w:rPr>
      </w:pPr>
      <w:r w:rsidRPr="007A1398">
        <w:rPr>
          <w:rFonts w:ascii="Arial" w:hAnsi="Arial" w:cs="Arial"/>
          <w:noProof/>
          <w:sz w:val="20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69885D" wp14:editId="59A1434E">
                <wp:simplePos x="0" y="0"/>
                <wp:positionH relativeFrom="margin">
                  <wp:align>right</wp:align>
                </wp:positionH>
                <wp:positionV relativeFrom="paragraph">
                  <wp:posOffset>2701534</wp:posOffset>
                </wp:positionV>
                <wp:extent cx="629475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7" w:rsidRPr="00EE087D" w:rsidRDefault="006B6497" w:rsidP="006B6497">
                            <w:pPr>
                              <w:rPr>
                                <w:rFonts w:ascii="Montserrat" w:hAnsi="Montserrat"/>
                                <w:b/>
                                <w:color w:val="03365F"/>
                                <w:sz w:val="28"/>
                                <w:szCs w:val="22"/>
                                <w:lang w:val="en-US"/>
                              </w:rPr>
                            </w:pPr>
                            <w:r w:rsidRPr="00EE087D">
                              <w:rPr>
                                <w:rFonts w:ascii="Montserrat" w:hAnsi="Montserrat"/>
                                <w:b/>
                                <w:color w:val="03365F"/>
                                <w:sz w:val="28"/>
                                <w:szCs w:val="22"/>
                                <w:lang w:val="en-US"/>
                              </w:rPr>
                              <w:t xml:space="preserve">For more information, visit </w:t>
                            </w:r>
                            <w:hyperlink r:id="rId10" w:history="1">
                              <w:r w:rsidRPr="00EE087D">
                                <w:rPr>
                                  <w:rStyle w:val="Hyperlink"/>
                                  <w:rFonts w:ascii="Montserrat" w:hAnsi="Montserrat"/>
                                  <w:b/>
                                  <w:color w:val="03365F"/>
                                  <w:sz w:val="28"/>
                                  <w:szCs w:val="22"/>
                                  <w:lang w:val="en-US"/>
                                </w:rPr>
                                <w:t>coface.com</w:t>
                              </w:r>
                            </w:hyperlink>
                          </w:p>
                          <w:p w:rsidR="006B6497" w:rsidRPr="00EE087D" w:rsidRDefault="006B6497" w:rsidP="006B6497">
                            <w:pPr>
                              <w:tabs>
                                <w:tab w:val="left" w:pos="8202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right="1588"/>
                              <w:rPr>
                                <w:rFonts w:ascii="Arial" w:hAnsi="Arial" w:cs="Arial"/>
                                <w:color w:val="03365F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:rsidR="006B6497" w:rsidRPr="00EE087D" w:rsidRDefault="006B6497" w:rsidP="006B6497">
                            <w:pPr>
                              <w:tabs>
                                <w:tab w:val="left" w:pos="8202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right="1588"/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4"/>
                                <w:lang w:val="en-US"/>
                              </w:rPr>
                            </w:pPr>
                            <w:r w:rsidRPr="00EE087D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4"/>
                                <w:lang w:val="en-US"/>
                              </w:rPr>
                              <w:t xml:space="preserve">COFACE SA. is listed on the A compartment of Euronext Paris </w:t>
                            </w:r>
                          </w:p>
                          <w:p w:rsidR="006B6497" w:rsidRPr="00EE087D" w:rsidRDefault="006B6497" w:rsidP="006B649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right="1588"/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EE087D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4"/>
                                <w:lang w:val="fr-FR"/>
                              </w:rPr>
                              <w:t xml:space="preserve">ISIN Code: FR0010667147 / </w:t>
                            </w:r>
                            <w:r w:rsidRPr="00EE087D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4"/>
                              </w:rPr>
                              <w:t>Mnemonic</w:t>
                            </w:r>
                            <w:r w:rsidRPr="00EE087D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4"/>
                                <w:lang w:val="fr-FR"/>
                              </w:rPr>
                              <w:t>: COFA</w:t>
                            </w:r>
                          </w:p>
                          <w:p w:rsidR="006B6497" w:rsidRPr="007A1398" w:rsidRDefault="006B6497" w:rsidP="006B649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right="1588"/>
                              <w:rPr>
                                <w:rFonts w:ascii="Montserrat" w:hAnsi="Montserrat" w:cs="Arial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988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4.45pt;margin-top:212.7pt;width:495.6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" filled="f" stroked="f">
                <v:textbox style="mso-fit-shape-to-text:t">
                  <w:txbxContent>
                    <w:p w:rsidR="006B6497" w:rsidRPr="00EE087D" w:rsidRDefault="006B6497" w:rsidP="006B6497">
                      <w:pPr>
                        <w:rPr>
                          <w:rFonts w:ascii="Montserrat" w:hAnsi="Montserrat"/>
                          <w:b/>
                          <w:color w:val="03365F"/>
                          <w:sz w:val="28"/>
                          <w:szCs w:val="22"/>
                          <w:lang w:val="en-US"/>
                        </w:rPr>
                      </w:pPr>
                      <w:r w:rsidRPr="00EE087D">
                        <w:rPr>
                          <w:rFonts w:ascii="Montserrat" w:hAnsi="Montserrat"/>
                          <w:b/>
                          <w:color w:val="03365F"/>
                          <w:sz w:val="28"/>
                          <w:szCs w:val="22"/>
                          <w:lang w:val="en-US"/>
                        </w:rPr>
                        <w:t xml:space="preserve">For more information, visit </w:t>
                      </w:r>
                      <w:hyperlink r:id="rId11" w:history="1">
                        <w:r w:rsidRPr="00EE087D">
                          <w:rPr>
                            <w:rStyle w:val="Hyperlink"/>
                            <w:rFonts w:ascii="Montserrat" w:hAnsi="Montserrat"/>
                            <w:b/>
                            <w:color w:val="03365F"/>
                            <w:sz w:val="28"/>
                            <w:szCs w:val="22"/>
                            <w:lang w:val="en-US"/>
                          </w:rPr>
                          <w:t>coface.com</w:t>
                        </w:r>
                      </w:hyperlink>
                    </w:p>
                    <w:p w:rsidR="006B6497" w:rsidRPr="00EE087D" w:rsidRDefault="006B6497" w:rsidP="006B6497">
                      <w:pPr>
                        <w:tabs>
                          <w:tab w:val="left" w:pos="8202"/>
                        </w:tabs>
                        <w:autoSpaceDE w:val="0"/>
                        <w:autoSpaceDN w:val="0"/>
                        <w:adjustRightInd w:val="0"/>
                        <w:spacing w:line="220" w:lineRule="atLeast"/>
                        <w:ind w:right="1588"/>
                        <w:rPr>
                          <w:rFonts w:ascii="Arial" w:hAnsi="Arial" w:cs="Arial"/>
                          <w:color w:val="03365F"/>
                          <w:sz w:val="20"/>
                          <w:szCs w:val="18"/>
                          <w:lang w:val="en-US"/>
                        </w:rPr>
                      </w:pPr>
                    </w:p>
                    <w:p w:rsidR="006B6497" w:rsidRPr="00EE087D" w:rsidRDefault="006B6497" w:rsidP="006B6497">
                      <w:pPr>
                        <w:tabs>
                          <w:tab w:val="left" w:pos="8202"/>
                        </w:tabs>
                        <w:autoSpaceDE w:val="0"/>
                        <w:autoSpaceDN w:val="0"/>
                        <w:adjustRightInd w:val="0"/>
                        <w:spacing w:line="220" w:lineRule="atLeast"/>
                        <w:ind w:right="1588"/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en-US"/>
                        </w:rPr>
                      </w:pPr>
                      <w:r w:rsidRPr="00EE087D"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en-US"/>
                        </w:rPr>
                        <w:t xml:space="preserve">COFACE SA. </w:t>
                      </w:r>
                      <w:proofErr w:type="gramStart"/>
                      <w:r w:rsidRPr="00EE087D"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en-US"/>
                        </w:rPr>
                        <w:t>is</w:t>
                      </w:r>
                      <w:proofErr w:type="gramEnd"/>
                      <w:r w:rsidRPr="00EE087D"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en-US"/>
                        </w:rPr>
                        <w:t xml:space="preserve"> listed on the A compartment of Euronext Paris </w:t>
                      </w:r>
                    </w:p>
                    <w:p w:rsidR="006B6497" w:rsidRPr="00EE087D" w:rsidRDefault="006B6497" w:rsidP="006B6497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right="1588"/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fr-FR"/>
                        </w:rPr>
                      </w:pPr>
                      <w:r w:rsidRPr="00EE087D"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fr-FR"/>
                        </w:rPr>
                        <w:t xml:space="preserve">ISIN Code: FR0010667147 / </w:t>
                      </w:r>
                      <w:r w:rsidRPr="00EE087D"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</w:rPr>
                        <w:t>Mnemonic</w:t>
                      </w:r>
                      <w:r w:rsidRPr="00EE087D">
                        <w:rPr>
                          <w:rFonts w:ascii="Montserrat" w:hAnsi="Montserrat" w:cs="Arial"/>
                          <w:color w:val="03365F"/>
                          <w:sz w:val="18"/>
                          <w:szCs w:val="14"/>
                          <w:lang w:val="fr-FR"/>
                        </w:rPr>
                        <w:t>: COFA</w:t>
                      </w:r>
                    </w:p>
                    <w:p w:rsidR="006B6497" w:rsidRPr="007A1398" w:rsidRDefault="006B6497" w:rsidP="006B6497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right="1588"/>
                        <w:rPr>
                          <w:rFonts w:ascii="Montserrat" w:hAnsi="Montserrat" w:cs="Arial"/>
                          <w:color w:val="000000" w:themeColor="text1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7534">
        <w:rPr>
          <w:rFonts w:ascii="Arial" w:hAnsi="Arial" w:cs="Arial"/>
          <w:noProof/>
          <w:sz w:val="20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FFA47" wp14:editId="065141B3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273800" cy="14046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404620"/>
                        </a:xfrm>
                        <a:prstGeom prst="rect">
                          <a:avLst/>
                        </a:prstGeom>
                        <a:solidFill>
                          <a:srgbClr val="71DBD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97" w:rsidRDefault="006B6497" w:rsidP="006B6497">
                            <w:pP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6497" w:rsidRPr="00AC4577" w:rsidRDefault="006B6497" w:rsidP="006B6497">
                            <w:pPr>
                              <w:spacing w:before="60"/>
                              <w:ind w:right="113"/>
                              <w:rPr>
                                <w:rFonts w:ascii="Montserrat" w:hAnsi="Montserrat" w:cs="Arial"/>
                                <w:b/>
                                <w:color w:val="03365F"/>
                                <w:sz w:val="18"/>
                                <w:szCs w:val="18"/>
                              </w:rPr>
                            </w:pPr>
                            <w:r w:rsidRPr="00AC4577">
                              <w:rPr>
                                <w:rFonts w:ascii="Montserrat" w:hAnsi="Montserrat" w:cs="Arial"/>
                                <w:b/>
                                <w:color w:val="03365F"/>
                                <w:sz w:val="18"/>
                                <w:szCs w:val="18"/>
                              </w:rPr>
                              <w:t>Coface: for trade – изграждаме бизнес заедно</w:t>
                            </w:r>
                          </w:p>
                          <w:p w:rsidR="006B6497" w:rsidRDefault="006B6497" w:rsidP="006B6497">
                            <w:pPr>
                              <w:spacing w:line="240" w:lineRule="exact"/>
                              <w:ind w:left="142" w:right="146"/>
                              <w:jc w:val="both"/>
                              <w:rPr>
                                <w:rStyle w:val="Strong"/>
                                <w:rFonts w:ascii="Montserrat" w:hAnsi="Montserrat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577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8"/>
                              </w:rPr>
                              <w:t>7</w:t>
                            </w:r>
                            <w:r w:rsidRPr="00AC4577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AC4577"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8"/>
                              </w:rPr>
                              <w:t xml:space="preserve"> години опит и най-фината мрежа превърнаха Кофас в еталон в кредитното застраховане, управлението на риска и глобалната икономика. С амбицията да се превърне в най-гъвкавия партньор в глобалното кредитно застраховане в бранша, експертите на Кофас работят в ритъма на световната икономика, като подкрепят 50 000 клиенти в изграждането на успешен, разрастващ се и динамичен бизнес. Услугите и решенията на Групата защитават и помагат на компаниите да вземат кредитни решения, за да подобрят способността им да продават, както на вътрешния, така и на експортния пазар. През 2018 г. в Кофас работят ~ 4300 души в 100 страни и е регистриран оборот от 1,4 милиарда евро</w:t>
                            </w:r>
                            <w:r>
                              <w:rPr>
                                <w:rFonts w:ascii="Montserrat" w:hAnsi="Montserrat" w:cs="Arial"/>
                                <w:color w:val="0336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6497" w:rsidRPr="0096361B" w:rsidRDefault="006B6497" w:rsidP="006B6497">
                            <w:pPr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108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FFA47" id="_x0000_s1027" type="#_x0000_t202" style="position:absolute;margin-left:0;margin-top:22.9pt;width:49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" fillcolor="#71dbd4" stroked="f">
                <v:textbox style="mso-fit-shape-to-text:t" inset="3mm,,3mm">
                  <w:txbxContent>
                    <w:p w:rsidR="006B6497" w:rsidRDefault="006B6497" w:rsidP="006B6497">
                      <w:pPr>
                        <w:rPr>
                          <w:rFonts w:ascii="Montserrat" w:hAnsi="Montserrat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6497" w:rsidRPr="00AC4577" w:rsidRDefault="006B6497" w:rsidP="006B6497">
                      <w:pPr>
                        <w:spacing w:before="60"/>
                        <w:ind w:right="113"/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</w:pPr>
                      <w:proofErr w:type="spellStart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>Coface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 xml:space="preserve">: for trade –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>изграждаме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>бизнес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b/>
                          <w:color w:val="03365F"/>
                          <w:sz w:val="18"/>
                          <w:szCs w:val="18"/>
                        </w:rPr>
                        <w:t>заедно</w:t>
                      </w:r>
                      <w:proofErr w:type="spellEnd"/>
                    </w:p>
                    <w:p w:rsidR="006B6497" w:rsidRDefault="006B6497" w:rsidP="006B6497">
                      <w:pPr>
                        <w:spacing w:line="240" w:lineRule="exact"/>
                        <w:ind w:left="142" w:right="146"/>
                        <w:jc w:val="both"/>
                        <w:rPr>
                          <w:rStyle w:val="Strong"/>
                          <w:rFonts w:ascii="Montserrat" w:hAnsi="Montserrat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7</w:t>
                      </w:r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години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опит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най-фината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мрежа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превърнаха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Кофас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еталон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кредитното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застраховане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управлението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риска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глобалната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икономика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. С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амбицията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превърне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най-гъвкавия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партньор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глобалното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кредитно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застраховане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бранша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експертите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Кофас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работят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ритъма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световната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икономика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като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подкрепят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50 000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клиенти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изграждането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успешен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разрастващ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се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динамичен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бизнес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Услугите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решенията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Групата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защитават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помагат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компаниите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вземат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кредитни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решения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за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подобрят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способността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им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да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продават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както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вътрешния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така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на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експортния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пазар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През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2018 г. в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Кофас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работят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~ 4300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души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в 100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страни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и е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регистриран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оборот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от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1,4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милиарда</w:t>
                      </w:r>
                      <w:proofErr w:type="spellEnd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4577"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евро</w:t>
                      </w:r>
                      <w:proofErr w:type="spellEnd"/>
                      <w:r>
                        <w:rPr>
                          <w:rFonts w:ascii="Montserrat" w:hAnsi="Montserrat" w:cs="Arial"/>
                          <w:color w:val="03365F"/>
                          <w:sz w:val="18"/>
                          <w:szCs w:val="18"/>
                        </w:rPr>
                        <w:t>.</w:t>
                      </w:r>
                    </w:p>
                    <w:p w:rsidR="006B6497" w:rsidRPr="0096361B" w:rsidRDefault="006B6497" w:rsidP="006B6497">
                      <w:pPr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2B2E" w:rsidRDefault="009C4DFC"/>
    <w:sectPr w:rsidR="008E2B2E" w:rsidSect="00363B61">
      <w:headerReference w:type="default" r:id="rId12"/>
      <w:headerReference w:type="first" r:id="rId13"/>
      <w:footnotePr>
        <w:numRestart w:val="eachPage"/>
      </w:footnotePr>
      <w:pgSz w:w="11900" w:h="16837" w:code="9"/>
      <w:pgMar w:top="992" w:right="992" w:bottom="992" w:left="992" w:header="567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DFC">
      <w:r>
        <w:separator/>
      </w:r>
    </w:p>
  </w:endnote>
  <w:endnote w:type="continuationSeparator" w:id="0">
    <w:p w:rsidR="00000000" w:rsidRDefault="009C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DFC">
      <w:r>
        <w:separator/>
      </w:r>
    </w:p>
  </w:footnote>
  <w:footnote w:type="continuationSeparator" w:id="0">
    <w:p w:rsidR="00000000" w:rsidRDefault="009C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21" w:rsidRDefault="009C4DFC" w:rsidP="009A42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61" w:rsidRDefault="001E2FBC" w:rsidP="00363B61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03337347" wp14:editId="67DA228A">
          <wp:extent cx="2153821" cy="97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face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21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7"/>
    <w:rsid w:val="00073D91"/>
    <w:rsid w:val="000D3A30"/>
    <w:rsid w:val="000F38B0"/>
    <w:rsid w:val="001E2FBC"/>
    <w:rsid w:val="0048231A"/>
    <w:rsid w:val="005606FB"/>
    <w:rsid w:val="00627A19"/>
    <w:rsid w:val="006B6497"/>
    <w:rsid w:val="008C57E2"/>
    <w:rsid w:val="009C4DFC"/>
    <w:rsid w:val="00AA6F04"/>
    <w:rsid w:val="00B3219D"/>
    <w:rsid w:val="00C95C28"/>
    <w:rsid w:val="00D406CD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F49"/>
  <w15:chartTrackingRefBased/>
  <w15:docId w15:val="{B7C28E0B-86BE-460A-BE2D-96E2569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97"/>
    <w:pPr>
      <w:widowControl w:val="0"/>
      <w:spacing w:after="0" w:line="240" w:lineRule="auto"/>
    </w:pPr>
    <w:rPr>
      <w:rFonts w:ascii="Cambria" w:eastAsia="MS Mincho" w:hAnsi="Cambria" w:cs="Cambr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6497"/>
    <w:rPr>
      <w:rFonts w:cs="Times New Roman"/>
      <w:color w:val="0000FF"/>
      <w:u w:val="single"/>
      <w:lang w:val="en-GB" w:eastAsia="en-GB"/>
    </w:rPr>
  </w:style>
  <w:style w:type="character" w:styleId="Strong">
    <w:name w:val="Strong"/>
    <w:qFormat/>
    <w:rsid w:val="006B6497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rsid w:val="006B6497"/>
  </w:style>
  <w:style w:type="character" w:customStyle="1" w:styleId="HeaderChar">
    <w:name w:val="Header Char"/>
    <w:basedOn w:val="DefaultParagraphFont"/>
    <w:link w:val="Header"/>
    <w:uiPriority w:val="99"/>
    <w:rsid w:val="006B6497"/>
    <w:rPr>
      <w:rFonts w:ascii="Cambria" w:eastAsia="MS Mincho" w:hAnsi="Cambria" w:cs="Cambria"/>
      <w:sz w:val="24"/>
      <w:szCs w:val="24"/>
      <w:lang w:val="en-GB" w:eastAsia="en-GB"/>
    </w:rPr>
  </w:style>
  <w:style w:type="paragraph" w:customStyle="1" w:styleId="Default">
    <w:name w:val="Default"/>
    <w:rsid w:val="006B64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78">
    <w:name w:val="A78"/>
    <w:uiPriority w:val="99"/>
    <w:rsid w:val="006B6497"/>
    <w:rPr>
      <w:rFonts w:cs="Montserrat"/>
      <w:b/>
      <w:bCs/>
      <w:color w:val="000000"/>
      <w:sz w:val="16"/>
      <w:szCs w:val="16"/>
    </w:rPr>
  </w:style>
  <w:style w:type="paragraph" w:customStyle="1" w:styleId="Pa15">
    <w:name w:val="Pa15"/>
    <w:basedOn w:val="Default"/>
    <w:next w:val="Default"/>
    <w:uiPriority w:val="99"/>
    <w:rsid w:val="006B6497"/>
    <w:pPr>
      <w:spacing w:line="241" w:lineRule="atLeast"/>
    </w:pPr>
    <w:rPr>
      <w:rFonts w:ascii="Montserrat" w:hAnsi="Montserrat" w:cs="Times New Roman"/>
      <w:color w:val="auto"/>
      <w:lang w:val="fr-FR" w:eastAsia="zh-CN"/>
    </w:rPr>
  </w:style>
  <w:style w:type="character" w:customStyle="1" w:styleId="A76">
    <w:name w:val="A76"/>
    <w:uiPriority w:val="99"/>
    <w:rsid w:val="006B6497"/>
    <w:rPr>
      <w:rFonts w:cs="Montserra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.tsvetanov@coface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corentin.henry@coface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face.com/News-Publications/Publications/Medium-and-long-term-knock-on-effects-of-the-war-in-Europe-on-global-sectors-trends-will-there-be-resilient-sectors" TargetMode="External"/><Relationship Id="rId11" Type="http://schemas.openxmlformats.org/officeDocument/2006/relationships/hyperlink" Target="http://www.coface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fac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.gedjeva@paragraph42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TSVETANOV Todor</dc:creator>
  <cp:keywords/>
  <dc:description/>
  <cp:lastModifiedBy>TSVETANOV Todor</cp:lastModifiedBy>
  <cp:revision>2</cp:revision>
  <dcterms:created xsi:type="dcterms:W3CDTF">2022-05-25T08:15:00Z</dcterms:created>
  <dcterms:modified xsi:type="dcterms:W3CDTF">2022-05-31T08:13:00Z</dcterms:modified>
</cp:coreProperties>
</file>